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SECANT BORED-PILE RETAINING WALL</w:t>
      </w:r>
    </w:p>
    <w:p>
      <w:pPr>
        <w:spacing w:after="480"/>
      </w:pPr>
      <w:r>
        <w:rPr>
          <w:rFonts w:ascii="Aptos" w:hAnsi="Aptos"/>
          <w:b w:val="0"/>
          <w:color w:val="5E6B78"/>
          <w:sz w:val="26"/>
        </w:rPr>
        <w:t>Dinding Secant Bored 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secant bored-pile retaining wall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secant bored-pile retaining wall.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Primary-pile low-strength concrete</w:t>
      </w:r>
    </w:p>
    <w:p>
      <w:pPr>
        <w:pStyle w:val="ListBullet"/>
        <w:spacing w:after="50"/>
        <w:ind w:left="369" w:hanging="170"/>
      </w:pPr>
      <w:r>
        <w:rPr>
          <w:rFonts w:ascii="Aptos" w:hAnsi="Aptos"/>
          <w:b w:val="0"/>
          <w:color w:val="263442"/>
          <w:sz w:val="19"/>
        </w:rPr>
        <w:t>Secondary-pile structural concrete</w:t>
      </w:r>
    </w:p>
    <w:p>
      <w:pPr>
        <w:pStyle w:val="ListBullet"/>
        <w:spacing w:after="50"/>
        <w:ind w:left="369" w:hanging="170"/>
      </w:pPr>
      <w:r>
        <w:rPr>
          <w:rFonts w:ascii="Aptos" w:hAnsi="Aptos"/>
          <w:b w:val="0"/>
          <w:color w:val="263442"/>
          <w:sz w:val="19"/>
        </w:rPr>
        <w:t>Reinforcement cages</w:t>
      </w:r>
    </w:p>
    <w:p>
      <w:pPr>
        <w:pStyle w:val="ListBullet"/>
        <w:spacing w:after="50"/>
        <w:ind w:left="369" w:hanging="170"/>
      </w:pPr>
      <w:r>
        <w:rPr>
          <w:rFonts w:ascii="Aptos" w:hAnsi="Aptos"/>
          <w:b w:val="0"/>
          <w:color w:val="263442"/>
          <w:sz w:val="19"/>
        </w:rPr>
        <w:t>Temporary casing</w:t>
      </w:r>
    </w:p>
    <w:p>
      <w:pPr>
        <w:pStyle w:val="ListBullet"/>
        <w:spacing w:after="50"/>
        <w:ind w:left="369" w:hanging="170"/>
      </w:pPr>
      <w:r>
        <w:rPr>
          <w:rFonts w:ascii="Aptos" w:hAnsi="Aptos"/>
          <w:b w:val="0"/>
          <w:color w:val="263442"/>
          <w:sz w:val="19"/>
        </w:rPr>
        <w:t>Joint-control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Rotary piling rig</w:t>
      </w:r>
    </w:p>
    <w:p>
      <w:pPr>
        <w:pStyle w:val="ListBullet"/>
        <w:spacing w:after="50"/>
        <w:ind w:left="369" w:hanging="170"/>
      </w:pPr>
      <w:r>
        <w:rPr>
          <w:rFonts w:ascii="Aptos" w:hAnsi="Aptos"/>
          <w:b w:val="0"/>
          <w:color w:val="263442"/>
          <w:sz w:val="19"/>
        </w:rPr>
        <w:t>Casing oscillator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Tremie equipment</w:t>
      </w:r>
    </w:p>
    <w:p>
      <w:pPr>
        <w:pStyle w:val="ListBullet"/>
        <w:spacing w:after="50"/>
        <w:ind w:left="369" w:hanging="170"/>
      </w:pPr>
      <w:r>
        <w:rPr>
          <w:rFonts w:ascii="Aptos" w:hAnsi="Aptos"/>
          <w:b w:val="0"/>
          <w:color w:val="263442"/>
          <w:sz w:val="19"/>
        </w:rPr>
        <w:t>Verticality monitoring system</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secant bored-pile retaining wall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Primary-pile low-strength concrete, Secondary-pile structural concrete, Reinforcement cages, Temporary casing, Joint-control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primary-secondary layout. </w:t>
      </w:r>
      <w:r>
        <w:rPr>
          <w:rFonts w:ascii="Aptos" w:hAnsi="Aptos"/>
          <w:b w:val="0"/>
          <w:color w:val="263442"/>
          <w:sz w:val="19"/>
        </w:rPr>
        <w:t>Approve the primary-secondary layout, cutting overlap, concrete strengths, sequence and verticality criteria.</w:t>
      </w:r>
    </w:p>
    <w:p>
      <w:pPr>
        <w:keepLines/>
        <w:spacing w:after="100" w:line="269" w:lineRule="auto"/>
        <w:ind w:left="369" w:hanging="369"/>
      </w:pPr>
      <w:r>
        <w:rPr>
          <w:rFonts w:ascii="Aptos" w:hAnsi="Aptos"/>
          <w:b/>
          <w:color w:val="071E33"/>
          <w:sz w:val="19"/>
        </w:rPr>
        <w:t xml:space="preserve">2. Construct guide walls. </w:t>
      </w:r>
      <w:r>
        <w:rPr>
          <w:rFonts w:ascii="Aptos" w:hAnsi="Aptos"/>
          <w:b w:val="0"/>
          <w:color w:val="263442"/>
          <w:sz w:val="19"/>
        </w:rPr>
        <w:t>Construct guide walls and verify pile centres, spacing and clear access for the cutting rig.</w:t>
      </w:r>
    </w:p>
    <w:p>
      <w:pPr>
        <w:keepLines/>
        <w:spacing w:after="100" w:line="269" w:lineRule="auto"/>
        <w:ind w:left="369" w:hanging="369"/>
      </w:pPr>
      <w:r>
        <w:rPr>
          <w:rFonts w:ascii="Aptos" w:hAnsi="Aptos"/>
          <w:b/>
          <w:color w:val="071E33"/>
          <w:sz w:val="19"/>
        </w:rPr>
        <w:t xml:space="preserve">3. Install unreinforced primary piles to depth using concrete compatible with the planned cutting time. </w:t>
      </w:r>
    </w:p>
    <w:p>
      <w:pPr>
        <w:keepLines/>
        <w:spacing w:after="100" w:line="269" w:lineRule="auto"/>
        <w:ind w:left="369" w:hanging="369"/>
      </w:pPr>
      <w:r>
        <w:rPr>
          <w:rFonts w:ascii="Aptos" w:hAnsi="Aptos"/>
          <w:b/>
          <w:color w:val="071E33"/>
          <w:sz w:val="19"/>
        </w:rPr>
        <w:t xml:space="preserve">4. Bore reinforced secondary piles through the designed overlap. </w:t>
      </w:r>
      <w:r>
        <w:rPr>
          <w:rFonts w:ascii="Aptos" w:hAnsi="Aptos"/>
          <w:b w:val="0"/>
          <w:color w:val="263442"/>
          <w:sz w:val="19"/>
        </w:rPr>
        <w:t>Bore reinforced secondary piles through the designed overlap while monitoring tool position and cutting response.</w:t>
      </w:r>
    </w:p>
    <w:p>
      <w:pPr>
        <w:keepLines/>
        <w:spacing w:after="100" w:line="269" w:lineRule="auto"/>
        <w:ind w:left="369" w:hanging="369"/>
      </w:pPr>
      <w:r>
        <w:rPr>
          <w:rFonts w:ascii="Aptos" w:hAnsi="Aptos"/>
          <w:b/>
          <w:color w:val="071E33"/>
          <w:sz w:val="19"/>
        </w:rPr>
        <w:t xml:space="preserve">5. Clean the base. </w:t>
      </w:r>
      <w:r>
        <w:rPr>
          <w:rFonts w:ascii="Aptos" w:hAnsi="Aptos"/>
          <w:b w:val="0"/>
          <w:color w:val="263442"/>
          <w:sz w:val="19"/>
        </w:rPr>
        <w:t>Clean the base, install the cage and place structural concrete continuously with recorded volume and level.</w:t>
      </w:r>
    </w:p>
    <w:p>
      <w:pPr>
        <w:keepLines/>
        <w:spacing w:after="100" w:line="269" w:lineRule="auto"/>
        <w:ind w:left="369" w:hanging="369"/>
      </w:pPr>
      <w:r>
        <w:rPr>
          <w:rFonts w:ascii="Aptos" w:hAnsi="Aptos"/>
          <w:b/>
          <w:color w:val="071E33"/>
          <w:sz w:val="19"/>
        </w:rPr>
        <w:t xml:space="preserve">6. Verify overlap and watertightness by records and exposed-wall inspection. </w:t>
      </w:r>
      <w:r>
        <w:rPr>
          <w:rFonts w:ascii="Aptos" w:hAnsi="Aptos"/>
          <w:b w:val="0"/>
          <w:color w:val="263442"/>
          <w:sz w:val="19"/>
        </w:rPr>
        <w:t>Verify overlap and watertightness by records and exposed-wall inspection, then complete capping and local repairs.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secant design; guide wall and centres; primary piles; secondary overlap and verticality; cage and concrete; continuity and watertightness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rig instability; open bore; loss of overlap; ground movement; concrete and slurry spill.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Secant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Guide wall and centres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Primary piles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Secondary overlap and verticality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Cage and concrete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Continuity and watertightness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bore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Loss of overlap</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Ground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and slurry spill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Secant Bored-Pile Retaining Wall</dc:title>
  <dc:subject>Editable construction method statement template</dc:subject>
  <dc:creator>Method Statement Hub Malaysia</dc:creator>
  <cp:keywords>secant pile, secant bored pile wall, retaining wall, watertight wall</cp:keywords>
  <dc:description>generated by python-docx</dc:description>
  <cp:lastModifiedBy/>
  <cp:revision>1</cp:revision>
  <dcterms:created xsi:type="dcterms:W3CDTF">2013-12-23T23:15:00Z</dcterms:created>
  <dcterms:modified xsi:type="dcterms:W3CDTF">2013-12-23T23:15:00Z</dcterms:modified>
  <cp:category/>
</cp:coreProperties>
</file>